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安职院办〔202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lang w:eastAsia="zh-CN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36</w:t>
      </w:r>
      <w:r>
        <w:rPr>
          <w:rFonts w:hint="eastAsia" w:ascii="仿宋_GB2312" w:eastAsia="仿宋_GB2312"/>
          <w:sz w:val="32"/>
          <w:szCs w:val="32"/>
          <w:lang w:eastAsia="zh-CN"/>
        </w:rPr>
        <w:t>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关于印发《安庆职业技术学院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阳光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健康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跑活动管理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办法（试行）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》的通知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各学院、各直属单位：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《安庆职业技术学院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阳光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健康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跑活动管理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办法（试行）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经2022年11月9日校长办公会研究通过，现予印发，请遵照执行。</w:t>
      </w: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pacing w:val="-6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420" w:firstLine="4928" w:firstLineChars="16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420" w:firstLine="4928" w:firstLineChars="16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安庆职业技术学院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420" w:firstLine="4928" w:firstLineChars="1600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-6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2022年11月21日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4252" w:right="1417" w:bottom="2041" w:left="1531" w:header="851" w:footer="992" w:gutter="0"/>
          <w:pgNumType w:fmt="numberInDash"/>
          <w:cols w:space="0" w:num="1"/>
          <w:rtlGutter w:val="0"/>
          <w:docGrid w:type="lines" w:linePitch="319" w:charSpace="0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安庆职业技术学院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黑体" w:hAnsi="黑体" w:eastAsia="黑体" w:cs="黑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阳光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健康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跑活动管理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办法（试行）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ascii="仿宋" w:hAnsi="仿宋" w:eastAsia="仿宋" w:cs="仿宋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积极响应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共青团中央、教育部、国家体育总局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关于大学生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“走下网络、走出宿舍、走向操场”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的倡议，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树立“健康第一”的教育理念，促进学校人才培养机制创新，不断提高我校大学生体质健康水平，根据《高等学校体育工作基本标准》《国家学生体质健康标准》《“健康中国2030”规划纲要》等文件精神，结合学校实际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就开展阳光健康跑活动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制定本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办法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44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章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活动规则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本规定适用于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安庆职业技术学院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全日制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高职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专科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一、二年级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在籍在校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学生。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活动时间。每学期从第二教学周开始至第十七教学周结束，其中新生第一学期从上课教学周开始至第十七教学周结束；每天6:00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系统开放（具体时间根据季节和学期可适当调整），进行有效活动频数记录。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活动范围。学生按照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“步道乐跑”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APP 软件提供的校园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点标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随机路线进行跑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锻炼, 点标随机路线设计时应合理、安全，规避一些相对危险区域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距离与配速。单次有效锻炼要求男生距离为2000米以上（含2000米），配速为2.0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m/s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m/s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；女生距离为1600米以上（含1600米），配速为1.6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m/s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m/s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活动频数。学生在规定的活动时间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和路线内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进行跑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锻炼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并符合规定的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距离与配速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，记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为有效活动频数。学生活动频数由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“步道乐跑”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管理系统信息平台软件来执行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每天活动频数最高计为1次，多次锻炼不计入当日活动频数。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48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章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成绩考核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学生阳光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健康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跑活动成绩考核根据学生活动频数来评分。一年级每学期的阳光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健康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活动成绩占本学期体育课总评成绩的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0%，即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0分（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百分制）。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一年级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学生每学期需在规定的活动时间内完成相应的活动频数（≥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26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次），才能获得对应的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阳光健康跑得分（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具体评分见表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）。学生学期体育总评成绩计算公式为：学期总评成绩＝体育课成绩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×80%+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阳光健康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跑得分。体育学期总评成绩达到60分及以上为合格。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表1：高职专科一年级学生阳光健康跑评分表</w:t>
      </w:r>
    </w:p>
    <w:tbl>
      <w:tblPr>
        <w:tblStyle w:val="5"/>
        <w:tblW w:w="753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565"/>
        <w:gridCol w:w="555"/>
        <w:gridCol w:w="555"/>
        <w:gridCol w:w="570"/>
        <w:gridCol w:w="570"/>
        <w:gridCol w:w="645"/>
        <w:gridCol w:w="690"/>
        <w:gridCol w:w="735"/>
        <w:gridCol w:w="720"/>
        <w:gridCol w:w="119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</w:tc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(以上）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</w:tc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年级每学期的阳光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健康跑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活动成绩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满分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0 分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，记入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体育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课程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成绩。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二年级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学生每学期需在规定的活动时间内完成相应的活动频数（≥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次），才能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通过体育课程考核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总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次数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次以下者，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按每次得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2分计体育成绩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。具体评分见表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表2：高职专科二年级学生阳光健康跑评分表</w:t>
      </w:r>
    </w:p>
    <w:tbl>
      <w:tblPr>
        <w:tblStyle w:val="5"/>
        <w:tblpPr w:leftFromText="180" w:rightFromText="180" w:vertAnchor="text" w:horzAnchor="page" w:tblpXSpec="center" w:tblpY="180"/>
        <w:tblOverlap w:val="never"/>
        <w:tblW w:w="677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650"/>
        <w:gridCol w:w="675"/>
        <w:gridCol w:w="645"/>
        <w:gridCol w:w="585"/>
        <w:gridCol w:w="615"/>
        <w:gridCol w:w="630"/>
        <w:gridCol w:w="660"/>
        <w:gridCol w:w="124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(以上）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88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92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96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2" w:firstLineChars="200"/>
        <w:textAlignment w:val="auto"/>
        <w:rPr>
          <w:rFonts w:ascii="仿宋" w:hAnsi="仿宋" w:eastAsia="仿宋" w:cs="仿宋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2" w:firstLineChars="200"/>
        <w:textAlignment w:val="auto"/>
        <w:rPr>
          <w:rFonts w:ascii="仿宋" w:hAnsi="仿宋" w:eastAsia="仿宋" w:cs="仿宋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2" w:firstLineChars="200"/>
        <w:textAlignment w:val="auto"/>
        <w:rPr>
          <w:rFonts w:ascii="仿宋" w:hAnsi="仿宋" w:eastAsia="仿宋" w:cs="仿宋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阳光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健康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跑活动纳入到学校“第二课堂成绩单”管理体系，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按照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“第二课堂成绩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学分计量方法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由校团委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在强体模块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记入相应学分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44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第三章  补考与免修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因阳光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健康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跑不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格导致的体育课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成绩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不及格者，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由公共基础部统一组织补考，补考项目由体育课程组根据学生的实际情况而定，补考时间一般安排在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下一学期开学后的第一个月内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。因外出实习不能按时参加补考的学生，由所在二级学院向公共基础部提交报告另行安排补考。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凡因伤、因病（住院）、因残或因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实习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、专业实践活动、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外出竞赛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等原因不能参加阳光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健康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跑活动者，可向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公共基础部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提交《阳光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健康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跑活动免跑申请表》，但须提供近6个月以内（从提交材料之日计算）二甲以上医院（含二甲）出示的证明、病历或残疾证或有关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实习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、专业实践活动、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外出竞赛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等证明材料，并经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辅导员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、各二级学院、校体育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委员会审核通过后，可免予执行该学期阳光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健康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跑活动（因残学生可免予执行每学期的阳光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健康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跑活动）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免修成绩60分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。阳光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健康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跑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免跑申请手续上半年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6月20日前完成办理、下半年12月20日前完成办理。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44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章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违规行为处理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下列行为视为违规行为：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1.借助自行车、旱冰鞋、滑板等工具进行跑步；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2.委托或代替他人进行跑步；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3.单人携带多个手机进行跑步（即多个APP同时启动）；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4.篡改APP后台数据；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5.其它弄虚作假行为。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第十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违规行为的处罚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1.取消违规学生本学期自发现之日以前的有效活动频数，须从发现之日后至本学期结束前重新完成应有的活动频数后，方为通过；不能完成的，按实际完成次数计算成绩。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2.对于一学期内，发现两次以上（含两次）违规行为，或在纠正其违规行为过程中态度恶劣、不予配合的学生，取消本学期阳光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健康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跑成绩。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3.对于平台系统软件数据无故出现三次以上（含三次）异常，经查实违规者，取消本学期阳光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健康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跑成绩，按考试违纪处理，具体参照《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安庆职业技术学院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学生违纪处分管理规定》执行。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年级学生如取消阳光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健康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跑成绩，本学期体育课程成绩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按照体育课实际成绩的80%计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分；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二年级学生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如取消阳光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健康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跑成绩，本学期体育课程成绩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记为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5.违规学生名单实行定期通报制，原则上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由公共基础部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每月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向二级学院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通报1次。各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二级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学院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在学生行为规范和遵纪守规教育中予以强调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40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章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奖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励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第十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对阳光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健康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跑活动中表现优秀的学生进行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奖励和表彰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授予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每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阳光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健康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跑总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有效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里程数（以阳光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健康跑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管理系统导出数据为有效数据）在全校排名前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%的学生校级“体育之星”称号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，并按男生组和女生组，分别给予前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20名学生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适当奖励。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40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章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第十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退役士兵学生体育课成绩按有关规定执行。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19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-6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第十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-6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-6"/>
          <w:kern w:val="0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-6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阳光健康跑活动奖励经费在体育维持经费中列支。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第十五条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本办法自202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2—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学年度第一学期开始试行，由校体育工作委员会办公室负责解释。</w:t>
      </w:r>
    </w:p>
    <w:p>
      <w:pPr>
        <w:widowControl/>
        <w:spacing w:line="240" w:lineRule="auto"/>
        <w:ind w:firstLine="560" w:firstLineChars="200"/>
        <w:rPr>
          <w:rFonts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widowControl/>
        <w:rPr>
          <w:rFonts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ind w:left="0" w:leftChars="0" w:firstLine="0" w:firstLineChars="0"/>
        <w:rPr>
          <w:rFonts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tabs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71" w:rightChars="34" w:firstLine="320" w:firstLineChars="100"/>
        <w:textAlignment w:val="auto"/>
        <w:rPr>
          <w:rFonts w:ascii="仿宋_GB2312" w:hAnsi="华文细黑" w:eastAsia="仿宋_GB2312"/>
          <w:sz w:val="32"/>
          <w:szCs w:val="32"/>
          <w:lang w:eastAsia="zh-CN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27305</wp:posOffset>
                </wp:positionV>
                <wp:extent cx="573405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3405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75pt;margin-top:2.15pt;height:0pt;width:451.5pt;z-index:251660288;mso-width-relative:page;mso-height-relative:page;" filled="f" stroked="t" coordsize="21600,21600" o:gfxdata="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5&#10;1YtS0gAAAAUBAAAPAAAAAAAAAAEAIAAAACIAAABkcnMvZG93bnJldi54bWxQSwECFAAUAAAACACH&#10;TuJAVjxEJfEBAADnAwAADgAAAAAAAAABACAAAAAhAQAAZHJzL2Uyb0RvYy54bWxQSwUGAAAAAAYA&#10;BgBZAQAAhA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细黑" w:eastAsia="仿宋_GB2312"/>
          <w:sz w:val="32"/>
          <w:szCs w:val="32"/>
          <w:lang w:eastAsia="zh-CN"/>
        </w:rPr>
        <w:t>安庆职业技术学院办公室          202</w:t>
      </w:r>
      <w:r>
        <w:rPr>
          <w:rFonts w:hint="eastAsia" w:ascii="仿宋_GB2312" w:hAnsi="华文细黑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华文细黑" w:eastAsia="仿宋_GB2312"/>
          <w:sz w:val="32"/>
          <w:szCs w:val="32"/>
          <w:lang w:eastAsia="zh-CN"/>
        </w:rPr>
        <w:t>年</w:t>
      </w:r>
      <w:r>
        <w:rPr>
          <w:rFonts w:hint="eastAsia" w:ascii="仿宋_GB2312" w:hAnsi="华文细黑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华文细黑" w:eastAsia="仿宋_GB2312"/>
          <w:sz w:val="32"/>
          <w:szCs w:val="32"/>
          <w:lang w:eastAsia="zh-CN"/>
        </w:rPr>
        <w:t>月</w:t>
      </w:r>
      <w:r>
        <w:rPr>
          <w:rFonts w:hint="eastAsia" w:ascii="仿宋_GB2312" w:hAnsi="华文细黑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华文细黑" w:eastAsia="仿宋_GB2312"/>
          <w:sz w:val="32"/>
          <w:szCs w:val="32"/>
          <w:lang w:eastAsia="zh-CN"/>
        </w:rPr>
        <w:t>日印发</w:t>
      </w:r>
    </w:p>
    <w:p>
      <w:pPr>
        <w:pStyle w:val="2"/>
        <w:rPr>
          <w:rFonts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22860</wp:posOffset>
                </wp:positionV>
                <wp:extent cx="5734685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3468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75pt;margin-top:1.8pt;height:0pt;width:451.55pt;z-index:251659264;mso-width-relative:page;mso-height-relative:page;" filled="f" stroked="t" coordsize="21600,21600" o:gfxdata="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MZm3tLVAAAABgEAAA8AAAAAAAAAAQAgAAAAIgAAAGRycy9kb3ducmV2LnhtbFBLAQIUABQA&#10;AAAIAIdO4kBmjuf48wEAAOcDAAAOAAAAAAAAAAEAIAAAACQBAABkcnMvZTJvRG9jLnhtbFBLBQYA&#10;AAAABgAGAFkBAACJ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细黑" w:eastAsia="仿宋_GB2312"/>
          <w:sz w:val="32"/>
          <w:szCs w:val="32"/>
          <w:lang w:eastAsia="zh-CN"/>
        </w:rPr>
        <w:t>校对：张林</w:t>
      </w:r>
      <w:r>
        <w:rPr>
          <w:rFonts w:hint="eastAsia" w:ascii="仿宋_GB2312" w:hAnsi="华文细黑" w:eastAsia="仿宋_GB2312"/>
          <w:sz w:val="32"/>
          <w:szCs w:val="32"/>
        </w:rPr>
        <w:t xml:space="preserve">                             </w:t>
      </w:r>
      <w:r>
        <w:rPr>
          <w:rFonts w:hint="eastAsia" w:ascii="仿宋_GB2312" w:hAnsi="华文细黑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华文细黑" w:eastAsia="仿宋_GB2312"/>
          <w:sz w:val="32"/>
          <w:szCs w:val="32"/>
        </w:rPr>
        <w:t>共印</w:t>
      </w:r>
      <w:r>
        <w:rPr>
          <w:rFonts w:hint="eastAsia" w:ascii="仿宋_GB2312" w:hAnsi="华文细黑" w:eastAsia="仿宋_GB2312"/>
          <w:sz w:val="32"/>
          <w:szCs w:val="32"/>
          <w:lang w:eastAsia="zh-CN"/>
        </w:rPr>
        <w:t>12</w:t>
      </w:r>
      <w:r>
        <w:rPr>
          <w:rFonts w:hint="eastAsia" w:ascii="仿宋_GB2312" w:hAnsi="华文细黑" w:eastAsia="仿宋_GB2312"/>
          <w:sz w:val="32"/>
          <w:szCs w:val="32"/>
        </w:rPr>
        <w:t>份</w:t>
      </w:r>
    </w:p>
    <w:sectPr>
      <w:pgSz w:w="11906" w:h="16838"/>
      <w:pgMar w:top="2154" w:right="1417" w:bottom="2041" w:left="1531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